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510"/>
        <w:gridCol w:w="7"/>
        <w:gridCol w:w="1144"/>
        <w:gridCol w:w="1700"/>
      </w:tblGrid>
      <w:tr w:rsidR="008A3D5E" w:rsidRPr="008A3D5E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644E8">
              <w:rPr>
                <w:rFonts w:ascii="Times New Roman" w:hAnsi="Times New Roman"/>
                <w:bCs/>
                <w:lang w:val="kk-KZ"/>
              </w:rPr>
              <w:t>Трансұлттық корпорацияларды игеруге қатысты әдіснамалық тұғырларға талдау жасау. «Транс», «ұлттық», «корпорация»  ұғымдарының мәнін айқындау және ұғымдардың арақатынасын белгілеу.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>Трансұлттық корпорациялардың қызметінің ерекшеліктері.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Ғылыми эссе.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Трансұлттық корпорациялардың халықаралық қызметінің оң және теріс жақтары, қазіргі замандағы дамуының беталысы. Ақпараттық-экономикалық бағыттағы талдау.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Қабылдаушы ел мен трансұлттық корпорациялардың арасында өзара қарым-қатынастың әлемдік тәжірибесі. Қазақстан Республикасы экономикалық қауіпсіздік жүйесінің қазіргі жай-күйі және трансұлттық корпорациялардың әрекетін талдау.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Бұқаралық коммуникацияның дәстүрлі семиотика, архетип және мифологиялық модельдері.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Бұқаралық коммуникация: медиамәдениет және медиадемократия композициясы.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8A3D5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Трансұлттық корпорациялар, start up-тар және консалтингтік компаниялар. PR қызметі және халықаралық ақпараттардың деңгейі.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БАҚ және мәдениеттің үйлесімділік нышаны, дамуы. Тәжірибелік кейс.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Қоғамдық пікір қалыптастырудағы жаңа медиа мүмкіндіктер. Салаландыру үдерісі. Электронды диалог – халықаралық/бұқаралық диалог ретінде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 xml:space="preserve">Шығыс елдеріндегі мәдиа және мәдениет. Корпорация/компания және т.б. ішкі және сыртқы мәдениет.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Дигитилизация мен конвергенцияны ілгерілету өрісіндегі ақпараттық жаһандастырудың мән-маңызы.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644E8">
              <w:rPr>
                <w:rFonts w:ascii="Times New Roman" w:hAnsi="Times New Roman"/>
                <w:lang w:val="kk-KZ"/>
              </w:rPr>
              <w:t>Ауызша тапсыру.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12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Қазақстандық БАҚ материалдарындағы мәдениетке байланысты мақалаларға контент талдау.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A7322A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</w:rPr>
            </w:pPr>
            <w:hyperlink r:id="rId4" w:history="1"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Халықаралық маркетинг 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субьектілері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(«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Проктер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энд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Гэмбл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» трансұлттық корпорация 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мысалында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талдау</w:t>
              </w:r>
              <w:proofErr w:type="spellEnd"/>
              <w:r w:rsidRPr="000644E8">
                <w:rPr>
                  <w:rStyle w:val="a4"/>
                  <w:rFonts w:ascii="Times New Roman" w:hAnsi="Times New Roman" w:cs="Times New Roman"/>
                  <w:color w:val="000000"/>
                </w:rPr>
                <w:t>)</w:t>
              </w:r>
            </w:hyperlink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14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 xml:space="preserve">Желілік мәдениет – халықаралық ынтамақтастықтың нышаны.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D5E" w:rsidRPr="00A7322A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7322A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8A3D5E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15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D5E" w:rsidRPr="000644E8" w:rsidRDefault="008A3D5E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Қазақстандық және шетелдік БАҚ: контент талдау, корреляциялық талдау, факторлық талдау.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D5E" w:rsidRPr="000644E8" w:rsidRDefault="008A3D5E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D5E" w:rsidRPr="00A7322A" w:rsidRDefault="008A3D5E" w:rsidP="00EE62C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</w:tbl>
    <w:p w:rsidR="00550DCA" w:rsidRDefault="00550DCA"/>
    <w:sectPr w:rsidR="0055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3D5E"/>
    <w:rsid w:val="00550DCA"/>
    <w:rsid w:val="008A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A3D5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.kz/referat/show/41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2019-10-27T18:35:00Z</dcterms:created>
  <dcterms:modified xsi:type="dcterms:W3CDTF">2019-10-27T18:38:00Z</dcterms:modified>
</cp:coreProperties>
</file>